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F1" w:rsidRDefault="00991A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991AF1" w:rsidRDefault="000670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Se enciende por primera vez “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>The Eye of Mexico”, el corazón de Neuchâtel Cuadrante Polanco</w:t>
      </w:r>
    </w:p>
    <w:p w:rsidR="00991AF1" w:rsidRDefault="00991A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991AF1" w:rsidRDefault="000670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Con la presencia de directivos de las empresas que hicieron posible </w:t>
      </w:r>
      <w:proofErr w:type="gramStart"/>
      <w:r>
        <w:rPr>
          <w:rFonts w:ascii="Arial" w:eastAsia="Arial" w:hAnsi="Arial" w:cs="Arial"/>
          <w:i/>
          <w:color w:val="000000"/>
        </w:rPr>
        <w:t>este</w:t>
      </w:r>
      <w:proofErr w:type="gramEnd"/>
      <w:r>
        <w:rPr>
          <w:rFonts w:ascii="Arial" w:eastAsia="Arial" w:hAnsi="Arial" w:cs="Arial"/>
          <w:i/>
          <w:color w:val="000000"/>
        </w:rPr>
        <w:t xml:space="preserve"> desarrollo de alta calidad, se realizó el encendido de la pieza escultórica de inteligencia artificial que enmarcó la inauguración del concepto de comunidad del innovador proyecto de </w:t>
      </w:r>
      <w:r>
        <w:rPr>
          <w:rFonts w:ascii="Arial" w:eastAsia="Arial" w:hAnsi="Arial" w:cs="Arial"/>
          <w:i/>
          <w:color w:val="000000"/>
        </w:rPr>
        <w:t>usos mixtos.</w:t>
      </w:r>
    </w:p>
    <w:p w:rsidR="00991AF1" w:rsidRDefault="000670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Los espacios públicos abiertos de </w:t>
      </w:r>
      <w:proofErr w:type="gramStart"/>
      <w:r>
        <w:rPr>
          <w:rFonts w:ascii="Arial" w:eastAsia="Arial" w:hAnsi="Arial" w:cs="Arial"/>
          <w:i/>
          <w:color w:val="000000"/>
        </w:rPr>
        <w:t>este</w:t>
      </w:r>
      <w:proofErr w:type="gramEnd"/>
      <w:r>
        <w:rPr>
          <w:rFonts w:ascii="Arial" w:eastAsia="Arial" w:hAnsi="Arial" w:cs="Arial"/>
          <w:i/>
          <w:color w:val="000000"/>
        </w:rPr>
        <w:t xml:space="preserve"> nuevo complejo urbanístico se integran y conectan con el arte para dinamizar el sentido de pertenencia entre sus habitantes y las personas que viven o se mueven dentro de la zona.</w:t>
      </w:r>
    </w:p>
    <w:p w:rsidR="00991AF1" w:rsidRDefault="00991AF1">
      <w:pPr>
        <w:jc w:val="both"/>
        <w:rPr>
          <w:i/>
        </w:rPr>
      </w:pPr>
    </w:p>
    <w:p w:rsidR="00991AF1" w:rsidRDefault="00991AF1">
      <w:pPr>
        <w:jc w:val="both"/>
        <w:rPr>
          <w:i/>
        </w:rPr>
      </w:pPr>
    </w:p>
    <w:p w:rsidR="00991AF1" w:rsidRDefault="0006701D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Arial" w:hAnsi="Arial" w:cs="Arial"/>
          <w:color w:val="00000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color w:val="000000"/>
        </w:rPr>
        <w:t>Ciudad de México, 20 de mayo de 2022</w:t>
      </w:r>
      <w:proofErr w:type="gramStart"/>
      <w:r>
        <w:rPr>
          <w:rFonts w:ascii="Arial" w:eastAsia="Arial" w:hAnsi="Arial" w:cs="Arial"/>
          <w:b/>
          <w:color w:val="000000"/>
        </w:rPr>
        <w:t>.-</w:t>
      </w:r>
      <w:proofErr w:type="gramEnd"/>
      <w:r>
        <w:rPr>
          <w:rFonts w:ascii="Arial" w:eastAsia="Arial" w:hAnsi="Arial" w:cs="Arial"/>
          <w:color w:val="000000"/>
        </w:rPr>
        <w:t xml:space="preserve"> Fue inaugurada la Fase I del proyecto </w:t>
      </w:r>
      <w:r>
        <w:rPr>
          <w:rFonts w:ascii="Arial" w:eastAsia="Arial" w:hAnsi="Arial" w:cs="Arial"/>
          <w:b/>
          <w:color w:val="000000"/>
        </w:rPr>
        <w:t>Neuchâtel Cuadrante Polanco</w:t>
      </w:r>
      <w:r>
        <w:rPr>
          <w:rFonts w:ascii="Arial" w:eastAsia="Arial" w:hAnsi="Arial" w:cs="Arial"/>
          <w:color w:val="000000"/>
        </w:rPr>
        <w:t>, una comunidad urbana de edificios residenciales, de oficinas, área comercial a pie de calle y la plaza pública, ubicada en la zona de Nuevo Polanco co</w:t>
      </w:r>
      <w:r>
        <w:rPr>
          <w:rFonts w:ascii="Arial" w:eastAsia="Arial" w:hAnsi="Arial" w:cs="Arial"/>
          <w:color w:val="000000"/>
        </w:rPr>
        <w:t xml:space="preserve">n dos vías de acceso: Río San Joaquín 498 y Lago Andrómaco; en la que se encendió por vez primera </w:t>
      </w:r>
      <w:r>
        <w:rPr>
          <w:rFonts w:ascii="Arial" w:eastAsia="Arial" w:hAnsi="Arial" w:cs="Arial"/>
          <w:b/>
          <w:color w:val="000000"/>
        </w:rPr>
        <w:t>The Eye of Mexico</w:t>
      </w:r>
      <w:r>
        <w:rPr>
          <w:rFonts w:ascii="Arial" w:eastAsia="Arial" w:hAnsi="Arial" w:cs="Arial"/>
          <w:color w:val="000000"/>
        </w:rPr>
        <w:t>, la pieza escultórica que con algoritmos de inteligencia artificial transmite datos demográficos, medioambientales y urbanos a través de alu</w:t>
      </w:r>
      <w:r>
        <w:rPr>
          <w:rFonts w:ascii="Arial" w:eastAsia="Arial" w:hAnsi="Arial" w:cs="Arial"/>
          <w:color w:val="000000"/>
        </w:rPr>
        <w:t>cinantes videos.</w:t>
      </w:r>
    </w:p>
    <w:p w:rsidR="00991AF1" w:rsidRDefault="0006701D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Directivos de las empresas que hicieron posible este proyecto de alta calidad: </w:t>
      </w:r>
      <w:r>
        <w:rPr>
          <w:rFonts w:ascii="Arial" w:eastAsia="Arial" w:hAnsi="Arial" w:cs="Arial"/>
          <w:b/>
          <w:color w:val="000000"/>
        </w:rPr>
        <w:t>MIRA</w:t>
      </w:r>
      <w:r>
        <w:rPr>
          <w:rFonts w:ascii="Arial" w:eastAsia="Arial" w:hAnsi="Arial" w:cs="Arial"/>
          <w:color w:val="000000"/>
        </w:rPr>
        <w:t xml:space="preserve"> como desarrollador del proyecto, </w:t>
      </w:r>
      <w:r>
        <w:rPr>
          <w:rFonts w:ascii="Arial" w:eastAsia="Arial" w:hAnsi="Arial" w:cs="Arial"/>
          <w:b/>
          <w:color w:val="000000"/>
        </w:rPr>
        <w:t>Ivanhoé Cambridge</w:t>
      </w:r>
      <w:r>
        <w:rPr>
          <w:rFonts w:ascii="Arial" w:eastAsia="Arial" w:hAnsi="Arial" w:cs="Arial"/>
          <w:color w:val="000000"/>
        </w:rPr>
        <w:t xml:space="preserve"> como inversionista principal, </w:t>
      </w:r>
      <w:r>
        <w:rPr>
          <w:rFonts w:ascii="Arial" w:eastAsia="Arial" w:hAnsi="Arial" w:cs="Arial"/>
          <w:b/>
          <w:color w:val="000000"/>
        </w:rPr>
        <w:t>Hines</w:t>
      </w:r>
      <w:r>
        <w:rPr>
          <w:rFonts w:ascii="Arial" w:eastAsia="Arial" w:hAnsi="Arial" w:cs="Arial"/>
          <w:color w:val="000000"/>
        </w:rPr>
        <w:t xml:space="preserve">, co-desarrollador del edificio de oficina y </w:t>
      </w:r>
      <w:r>
        <w:rPr>
          <w:rFonts w:ascii="Arial" w:eastAsia="Arial" w:hAnsi="Arial" w:cs="Arial"/>
          <w:b/>
          <w:color w:val="000000"/>
        </w:rPr>
        <w:t>Gran Ciudad</w:t>
      </w:r>
      <w:r>
        <w:rPr>
          <w:rFonts w:ascii="Arial" w:eastAsia="Arial" w:hAnsi="Arial" w:cs="Arial"/>
          <w:color w:val="000000"/>
        </w:rPr>
        <w:t xml:space="preserve">, que próximamente desarrollará en la Fase II de este proyecto vivienda en renta, cortaron el simbólico listón de inauguración del proyecto y encendieron por vez primera, </w:t>
      </w:r>
      <w:r>
        <w:rPr>
          <w:rFonts w:ascii="Arial" w:eastAsia="Arial" w:hAnsi="Arial" w:cs="Arial"/>
          <w:i/>
          <w:color w:val="000000"/>
        </w:rPr>
        <w:t>The Eye of Mexico</w:t>
      </w:r>
      <w:r>
        <w:rPr>
          <w:rFonts w:ascii="Arial" w:eastAsia="Arial" w:hAnsi="Arial" w:cs="Arial"/>
          <w:color w:val="000000"/>
        </w:rPr>
        <w:t xml:space="preserve">, un aro metálico viviente de 10 x 3m, que mostró la interpretación </w:t>
      </w:r>
      <w:r>
        <w:rPr>
          <w:rFonts w:ascii="Arial" w:eastAsia="Arial" w:hAnsi="Arial" w:cs="Arial"/>
          <w:color w:val="000000"/>
        </w:rPr>
        <w:t>de comportamientos del vibrante presente de la Ciudad de México y su fuerte visión de futuro.</w:t>
      </w:r>
    </w:p>
    <w:p w:rsidR="00991AF1" w:rsidRDefault="0006701D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Esta pieza vivirá en la plaza pública del Cuadrante donde las personas podrán disfrutar de locales comerciales con acceso directo a espacios verdes que generarán </w:t>
      </w:r>
      <w:r>
        <w:rPr>
          <w:rFonts w:ascii="Arial" w:eastAsia="Arial" w:hAnsi="Arial" w:cs="Arial"/>
          <w:color w:val="000000"/>
        </w:rPr>
        <w:t>una experiencia especial para sus visitantes, con la intención de transmitir al espectador la relación que existe entre el arte, la ciencia y tecnología con el urbanismo y la movilidad.</w:t>
      </w:r>
    </w:p>
    <w:p w:rsidR="00991AF1" w:rsidRDefault="0006701D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Para Roberto Pulido, director general de MIRA, compañía desarrolladora</w:t>
      </w:r>
      <w:r>
        <w:rPr>
          <w:rFonts w:ascii="Arial" w:eastAsia="Arial" w:hAnsi="Arial" w:cs="Arial"/>
          <w:color w:val="000000"/>
        </w:rPr>
        <w:t xml:space="preserve"> del proyecto, maximizar las experiencias para lograr una verdadera calidad de vida a sus habitantes, es el principal atributo de la firma: “Este proyecto es la tercera generación de comunidades donde aplicamos toda nuestra experiencia para resolver en est</w:t>
      </w:r>
      <w:r>
        <w:rPr>
          <w:rFonts w:ascii="Arial" w:eastAsia="Arial" w:hAnsi="Arial" w:cs="Arial"/>
          <w:color w:val="000000"/>
        </w:rPr>
        <w:t xml:space="preserve">e espacio las necesidades de los usuarios con el objetivo de </w:t>
      </w:r>
      <w:r>
        <w:rPr>
          <w:rFonts w:ascii="Arial" w:eastAsia="Arial" w:hAnsi="Arial" w:cs="Arial"/>
          <w:color w:val="000000"/>
        </w:rPr>
        <w:lastRenderedPageBreak/>
        <w:t>asegurarles un mejor futuro al conjuntar oficinas, comercios, espacios de vivienda y esta escultura única en toda Latinoamérica”, expresó el directivo.</w:t>
      </w:r>
    </w:p>
    <w:p w:rsidR="00991AF1" w:rsidRDefault="0006701D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Jonathan Pearce, vicepresidente ejecutivo d</w:t>
      </w:r>
      <w:r>
        <w:rPr>
          <w:rFonts w:ascii="Arial" w:eastAsia="Arial" w:hAnsi="Arial" w:cs="Arial"/>
          <w:color w:val="000000"/>
        </w:rPr>
        <w:t xml:space="preserve">e Arrendamiento y Desarrollo en Ivanhoé Cambridge, </w:t>
      </w:r>
      <w:proofErr w:type="gramStart"/>
      <w:r>
        <w:rPr>
          <w:rFonts w:ascii="Arial" w:eastAsia="Arial" w:hAnsi="Arial" w:cs="Arial"/>
          <w:color w:val="000000"/>
        </w:rPr>
        <w:t>principal</w:t>
      </w:r>
      <w:proofErr w:type="gramEnd"/>
      <w:r>
        <w:rPr>
          <w:rFonts w:ascii="Arial" w:eastAsia="Arial" w:hAnsi="Arial" w:cs="Arial"/>
          <w:color w:val="000000"/>
        </w:rPr>
        <w:t xml:space="preserve"> inversor y propietario de este proyecto, señaló: “Estamos encantados de inaugurar oficialmente esta increíble comunidad urbana, un verdadero lugar para vivir, trabajar y jugar. El nuevo edificio </w:t>
      </w:r>
      <w:r>
        <w:rPr>
          <w:rFonts w:ascii="Arial" w:eastAsia="Arial" w:hAnsi="Arial" w:cs="Arial"/>
          <w:color w:val="000000"/>
        </w:rPr>
        <w:t>de oficinas, Corporativo Neuchâtel, ha sido diseñado desde dentro hacia fuera para acentuar el bienestar y la experiencia del usuario</w:t>
      </w:r>
      <w:proofErr w:type="gramStart"/>
      <w:r>
        <w:rPr>
          <w:rFonts w:ascii="Arial" w:eastAsia="Arial" w:hAnsi="Arial" w:cs="Arial"/>
          <w:color w:val="000000"/>
        </w:rPr>
        <w:t>;</w:t>
      </w:r>
      <w:proofErr w:type="gramEnd"/>
      <w:r>
        <w:rPr>
          <w:rFonts w:ascii="Arial" w:eastAsia="Arial" w:hAnsi="Arial" w:cs="Arial"/>
          <w:color w:val="000000"/>
        </w:rPr>
        <w:t xml:space="preserve"> y los servicios y comodidades que ofrecemos y están por encima de lo que se ve en el mercado, refuerzan esto. </w:t>
      </w:r>
      <w:proofErr w:type="gramStart"/>
      <w:r>
        <w:rPr>
          <w:rFonts w:ascii="Arial" w:eastAsia="Arial" w:hAnsi="Arial" w:cs="Arial"/>
          <w:color w:val="000000"/>
        </w:rPr>
        <w:t>Me gustaría</w:t>
      </w:r>
      <w:r>
        <w:rPr>
          <w:rFonts w:ascii="Arial" w:eastAsia="Arial" w:hAnsi="Arial" w:cs="Arial"/>
          <w:color w:val="000000"/>
        </w:rPr>
        <w:t xml:space="preserve"> felicitar a nuestros socios y a todo el equipo de Ivanhoé Cambridge en México por su trabajo para hacer realidad esta visión”.</w:t>
      </w:r>
      <w:proofErr w:type="gramEnd"/>
    </w:p>
    <w:p w:rsidR="00991AF1" w:rsidRDefault="0006701D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Por su parte, Palmer Letzerichm, director general de HINES, empresa inmobiliaria de inversiones, destacó </w:t>
      </w:r>
      <w:r>
        <w:rPr>
          <w:rFonts w:ascii="Arial" w:eastAsia="Arial" w:hAnsi="Arial" w:cs="Arial"/>
        </w:rPr>
        <w:t xml:space="preserve">que para Hines este es </w:t>
      </w:r>
      <w:r>
        <w:rPr>
          <w:rFonts w:ascii="Arial" w:eastAsia="Arial" w:hAnsi="Arial" w:cs="Arial"/>
        </w:rPr>
        <w:t xml:space="preserve">sin duda el proyecto inmobiliario más innovador de México y un ejemplo claro del nuevo estàndar de desarrollos </w:t>
      </w:r>
      <w:proofErr w:type="gramStart"/>
      <w:r>
        <w:rPr>
          <w:rFonts w:ascii="Arial" w:eastAsia="Arial" w:hAnsi="Arial" w:cs="Arial"/>
        </w:rPr>
        <w:t>para  la</w:t>
      </w:r>
      <w:proofErr w:type="gramEnd"/>
      <w:r>
        <w:rPr>
          <w:rFonts w:ascii="Arial" w:eastAsia="Arial" w:hAnsi="Arial" w:cs="Arial"/>
        </w:rPr>
        <w:t xml:space="preserve"> compañía y para la Ciudad de México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</w:rPr>
        <w:t xml:space="preserve">“Estamos muy orgullosos de </w:t>
      </w:r>
      <w:proofErr w:type="gramStart"/>
      <w:r>
        <w:rPr>
          <w:rFonts w:ascii="Arial" w:eastAsia="Arial" w:hAnsi="Arial" w:cs="Arial"/>
        </w:rPr>
        <w:t>este</w:t>
      </w:r>
      <w:proofErr w:type="gramEnd"/>
      <w:r>
        <w:rPr>
          <w:rFonts w:ascii="Arial" w:eastAsia="Arial" w:hAnsi="Arial" w:cs="Arial"/>
        </w:rPr>
        <w:t xml:space="preserve"> proyecto para el que hemos traído a los mejores arquitectos interna</w:t>
      </w:r>
      <w:r>
        <w:rPr>
          <w:rFonts w:ascii="Arial" w:eastAsia="Arial" w:hAnsi="Arial" w:cs="Arial"/>
        </w:rPr>
        <w:t xml:space="preserve">cionales quienes han diseñado unos excelentes espacios con diseño para para la hospitalidad y satisfacer este proyecto de comunidad”, expresó el director general de HINES. </w:t>
      </w:r>
    </w:p>
    <w:p w:rsidR="00991AF1" w:rsidRDefault="0006701D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Alejandro Sánchez Ascencio, presidente de Gran Ciudad, firma integral que redefine </w:t>
      </w:r>
      <w:r>
        <w:rPr>
          <w:rFonts w:ascii="Arial" w:eastAsia="Arial" w:hAnsi="Arial" w:cs="Arial"/>
          <w:color w:val="000000"/>
        </w:rPr>
        <w:t>el concepto de vivienda en renta en México, vislumbra un panorama positivo para este Cuadrante: “Nuestra participación en este proyecto se debe al gran potencial que posee el área comercial, la conectividad natural con la zona de Polanco, la cercanía con l</w:t>
      </w:r>
      <w:r>
        <w:rPr>
          <w:rFonts w:ascii="Arial" w:eastAsia="Arial" w:hAnsi="Arial" w:cs="Arial"/>
          <w:color w:val="000000"/>
        </w:rPr>
        <w:t>os edificios de oficinas y el acceso a los servicios y amenidades”, comentó el directivo.</w:t>
      </w:r>
    </w:p>
    <w:p w:rsidR="00991AF1" w:rsidRDefault="0006701D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Los visitantes del Cuadrante pueden apreciar los cambios que se generaron en la zona de Nuevo Polanco como parte de una nueva realidad urbana de la Ciudad de México, </w:t>
      </w:r>
      <w:r>
        <w:rPr>
          <w:rFonts w:ascii="Arial" w:eastAsia="Arial" w:hAnsi="Arial" w:cs="Arial"/>
          <w:color w:val="000000"/>
        </w:rPr>
        <w:t>donde se integran y conectan los espacios peatonales con los diferentes servicios que dinamizarán el sentido de pertenencia entre sus habitantes y las personas que se mueven alrededor de la zona.</w:t>
      </w:r>
    </w:p>
    <w:p w:rsidR="00991AF1" w:rsidRDefault="0006701D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Neuchâtel Cuadrante Polanco es ya ícono de Nuevo Polanco, y </w:t>
      </w:r>
      <w:r>
        <w:rPr>
          <w:rFonts w:ascii="Arial" w:eastAsia="Arial" w:hAnsi="Arial" w:cs="Arial"/>
          <w:color w:val="000000"/>
        </w:rPr>
        <w:t xml:space="preserve">se consolidará </w:t>
      </w:r>
      <w:proofErr w:type="gramStart"/>
      <w:r>
        <w:rPr>
          <w:rFonts w:ascii="Arial" w:eastAsia="Arial" w:hAnsi="Arial" w:cs="Arial"/>
          <w:color w:val="000000"/>
        </w:rPr>
        <w:t>como</w:t>
      </w:r>
      <w:proofErr w:type="gramEnd"/>
      <w:r>
        <w:rPr>
          <w:rFonts w:ascii="Arial" w:eastAsia="Arial" w:hAnsi="Arial" w:cs="Arial"/>
          <w:color w:val="000000"/>
        </w:rPr>
        <w:t xml:space="preserve"> referente del aporte de espacios públicos y arte como un transformador en la nueva generación de habitantes de la Ciudad de México. La integración de </w:t>
      </w:r>
      <w:r>
        <w:rPr>
          <w:rFonts w:ascii="Arial" w:eastAsia="Arial" w:hAnsi="Arial" w:cs="Arial"/>
          <w:i/>
          <w:color w:val="000000"/>
        </w:rPr>
        <w:t>The Eye of Mexico</w:t>
      </w:r>
      <w:r>
        <w:rPr>
          <w:rFonts w:ascii="Arial" w:eastAsia="Arial" w:hAnsi="Arial" w:cs="Arial"/>
          <w:color w:val="000000"/>
        </w:rPr>
        <w:t xml:space="preserve"> fue posible gracias a la gestión encabezada por la agencia global de</w:t>
      </w:r>
      <w:r>
        <w:rPr>
          <w:rFonts w:ascii="Arial" w:eastAsia="Arial" w:hAnsi="Arial" w:cs="Arial"/>
          <w:color w:val="000000"/>
        </w:rPr>
        <w:t xml:space="preserve"> consultoría creativa, MASSIVart, con el estudio turco de arte, ciencia y tecnología, Ouchhh.</w:t>
      </w:r>
    </w:p>
    <w:p w:rsidR="00991AF1" w:rsidRDefault="0006701D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Philippe Demers, fundador y director creativo de MASSIVart, asegura que la cultura </w:t>
      </w:r>
      <w:r>
        <w:rPr>
          <w:rFonts w:ascii="Arial" w:eastAsia="Arial" w:hAnsi="Arial" w:cs="Arial"/>
          <w:color w:val="000000"/>
        </w:rPr>
        <w:lastRenderedPageBreak/>
        <w:t>y el arte son un vehículo de aprendizaje y esparcimiento para la gente y por el</w:t>
      </w:r>
      <w:r>
        <w:rPr>
          <w:rFonts w:ascii="Arial" w:eastAsia="Arial" w:hAnsi="Arial" w:cs="Arial"/>
          <w:color w:val="000000"/>
        </w:rPr>
        <w:t xml:space="preserve">lo la relevancia de instalar en este desarrollo </w:t>
      </w:r>
      <w:r>
        <w:rPr>
          <w:rFonts w:ascii="Arial" w:eastAsia="Arial" w:hAnsi="Arial" w:cs="Arial"/>
          <w:i/>
          <w:color w:val="000000"/>
        </w:rPr>
        <w:t>The Eye of Mexico</w:t>
      </w:r>
      <w:r>
        <w:rPr>
          <w:rFonts w:ascii="Arial" w:eastAsia="Arial" w:hAnsi="Arial" w:cs="Arial"/>
          <w:color w:val="000000"/>
        </w:rPr>
        <w:t>: “La instalación de esta pieza de arte única que incorpora tecnología, data e inteligencia artificial, propicia el desarrollo de una comunidad diferente y más consolidada”.</w:t>
      </w:r>
    </w:p>
    <w:p w:rsidR="00991AF1" w:rsidRDefault="00991AF1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Arial" w:hAnsi="Arial" w:cs="Arial"/>
          <w:color w:val="000000"/>
        </w:rPr>
      </w:pPr>
    </w:p>
    <w:p w:rsidR="00991AF1" w:rsidRDefault="0006701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# # #</w:t>
      </w:r>
    </w:p>
    <w:p w:rsidR="00991AF1" w:rsidRDefault="0006701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Contacto con Medios:</w:t>
      </w:r>
    </w:p>
    <w:p w:rsidR="00991AF1" w:rsidRDefault="000670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Miguel Ángel Robles</w:t>
      </w:r>
    </w:p>
    <w:p w:rsidR="00991AF1" w:rsidRDefault="000670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Alchemia</w:t>
      </w:r>
    </w:p>
    <w:p w:rsidR="00991AF1" w:rsidRDefault="000670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mrobles@alchemia.com.mx</w:t>
      </w:r>
    </w:p>
    <w:p w:rsidR="00991AF1" w:rsidRDefault="00991AF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991AF1" w:rsidRDefault="00991AF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991AF1" w:rsidRDefault="00991AF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991AF1" w:rsidRDefault="0006701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Acerca de Ivanhoé Cambridge </w:t>
      </w:r>
    </w:p>
    <w:p w:rsidR="00991AF1" w:rsidRDefault="0006701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Ivanhoé Cambridge desarrolla e invierte en propiedades, proyectos y empresas inmobiliarias de alta calidad que están dando forma al tejido urbano en ciudades dinámicas de todo el mundo.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Lo hace de forma responsable, con el objetivo de generar rendimiento 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largo plazo.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Ivanhoé Cambridge se compromete a crear espacios vitales que fomenten el bienestar de las personas y las comunidades, reduciendo al mismo tiempo su huella medioambiental.</w:t>
      </w:r>
      <w:proofErr w:type="gramEnd"/>
    </w:p>
    <w:p w:rsidR="00991AF1" w:rsidRDefault="0006701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Ivanhoé Cambridge invierte a nivel internacional junto a socios estraté</w:t>
      </w:r>
      <w:r>
        <w:rPr>
          <w:rFonts w:ascii="Arial" w:eastAsia="Arial" w:hAnsi="Arial" w:cs="Arial"/>
          <w:color w:val="000000"/>
          <w:sz w:val="18"/>
          <w:szCs w:val="18"/>
        </w:rPr>
        <w:t>gicos y grandes fondos inmobiliarios líderes en sus mercados.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 través de filiales y asociaciones, la empresa tiene intereses en más de 1.200 edificios, principalmente en los sectores industrial y logístico, de oficinas, residencial y comercial.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Ivanhoé Ca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mbridge poseía 69.000 millones de dólares canadienses en activos inmobiliarios a 31 de diciembre de 2021 y es una filial inmobiliaria de Caisse de dépôt et placement du Québec (cdpq.com), un grupo de inversión global. Para más información: </w:t>
      </w:r>
      <w:hyperlink r:id="rId9">
        <w:r>
          <w:rPr>
            <w:rFonts w:ascii="Arial" w:eastAsia="Arial" w:hAnsi="Arial" w:cs="Arial"/>
            <w:color w:val="000000"/>
            <w:sz w:val="18"/>
            <w:szCs w:val="18"/>
            <w:u w:val="single"/>
          </w:rPr>
          <w:t>www.ivanhoecambridge.com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:rsidR="00991AF1" w:rsidRDefault="00991AF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991AF1" w:rsidRDefault="0006701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Acerca de MIRA</w:t>
      </w:r>
    </w:p>
    <w:p w:rsidR="00991AF1" w:rsidRDefault="0006701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MIRA es una empresa de inversión y desarrollo inmobiliario que diseña y desarrolla espacios para comunidades urbanas.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Estos espacios hacen que la vida cotidiana sea extraordinari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a, porque entrelazan las áreas públicas y privadas y permiten a quienes los habitan ser una comunidad e interactuar con el resto de la ciudad.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Ejemplos tangibles de su éxito son sus diferentes complejos ubicados en Baja California, Monterrey, Querétaro y Q</w:t>
      </w:r>
      <w:r>
        <w:rPr>
          <w:rFonts w:ascii="Arial" w:eastAsia="Arial" w:hAnsi="Arial" w:cs="Arial"/>
          <w:color w:val="000000"/>
          <w:sz w:val="18"/>
          <w:szCs w:val="18"/>
        </w:rPr>
        <w:t>uintana Roo.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Para más información: </w:t>
      </w:r>
      <w:hyperlink r:id="rId10">
        <w:r>
          <w:rPr>
            <w:rFonts w:ascii="Arial" w:eastAsia="Arial" w:hAnsi="Arial" w:cs="Arial"/>
            <w:color w:val="000000"/>
            <w:sz w:val="18"/>
            <w:szCs w:val="18"/>
            <w:u w:val="single"/>
          </w:rPr>
          <w:t>https://mira.mx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991AF1" w:rsidRDefault="00991AF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991AF1" w:rsidRDefault="0006701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Acerca de HINES</w:t>
      </w:r>
    </w:p>
    <w:p w:rsidR="00991AF1" w:rsidRDefault="0006701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Hines es una firma de inversión inmobiliaria global de propiedad privada fundada en 1957 con presencia en 285 ciudades en 28 países. Hines proporciona 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ervicios a nivel de propiedad de terceros a 373 propiedades con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un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total de 114,2 millones de pies cuadrados. Históricamente, Hines ha desarrollado, remodelado o adquirido aproximadamente 1530 propiedades, con un total de más de 511 millones de pies cuadra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dos. La firma tiene actualmente más de 198 desarrollos en marcha en todo el mundo. Con una amplia experiencia en inversiones en todo el espectro de riesgo y todo tipo de propiedades, y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un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compromiso fundamental con ESG, Hines es una de las organizaciones 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nmobiliarias más grandes y respetadas del mundo.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Visite www.hines.com para obtener más información.</w:t>
      </w:r>
      <w:proofErr w:type="gramEnd"/>
    </w:p>
    <w:p w:rsidR="00991AF1" w:rsidRDefault="0006701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Acerca de Gran Ciudad</w:t>
      </w:r>
    </w:p>
    <w:p w:rsidR="00991AF1" w:rsidRDefault="0006701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 xml:space="preserve">Gran Ciudad es una compañía integral de bienes raíces con sede en la Ciudad de México, desarrolladores, propietarios y operadores de viviendas en renta de alta calidad en todo México.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Su misión es hacer estas grandes ciudades más habitables y construir com</w:t>
      </w:r>
      <w:r>
        <w:rPr>
          <w:rFonts w:ascii="Arial" w:eastAsia="Arial" w:hAnsi="Arial" w:cs="Arial"/>
          <w:color w:val="000000"/>
          <w:sz w:val="18"/>
          <w:szCs w:val="18"/>
        </w:rPr>
        <w:t>unidades que inspiren y fomenten el bienestar de una nueva generación de habitantes de las ciudades.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Están dedicados a la creación de una mejor forma de vida urbana para esta generación, construida sobre los principios de la conveniencia, la comodidad, la </w:t>
      </w:r>
      <w:r>
        <w:rPr>
          <w:rFonts w:ascii="Arial" w:eastAsia="Arial" w:hAnsi="Arial" w:cs="Arial"/>
          <w:color w:val="000000"/>
          <w:sz w:val="18"/>
          <w:szCs w:val="18"/>
        </w:rPr>
        <w:t>comunidad y la creencia en las infinitas posibilidades del futuro.</w:t>
      </w:r>
    </w:p>
    <w:p w:rsidR="00991AF1" w:rsidRDefault="0006701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Acerca de MASSIVart</w:t>
      </w:r>
    </w:p>
    <w:p w:rsidR="00991AF1" w:rsidRDefault="0006701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MASSIVart es una agencia global de consultoría creativa y de creación de espacios que crea destinos inspiradores y piezas de arte público.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Somos creadores de espacios cu</w:t>
      </w:r>
      <w:r>
        <w:rPr>
          <w:rFonts w:ascii="Arial" w:eastAsia="Arial" w:hAnsi="Arial" w:cs="Arial"/>
          <w:color w:val="000000"/>
          <w:sz w:val="18"/>
          <w:szCs w:val="18"/>
        </w:rPr>
        <w:t>lturales, guardianes de lugares, comisarios, diseñadores, estrategas y productores para el ámbito público y privado.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A través de nuestra visión creativa estratégica, vemos la cultura y la creación de espacios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como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la piedra angular que permite la transform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ación de comunidades y empresas vibrantes. Desde la planificación general de alto nivel hasta el comisariado, la fabricación y la instalación, creemos que el arte y la cultura tienen la capacidad de crear valor dando forma, enriqueciendo y contribuyendo a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la identidad de los lugares. Para más información: </w:t>
      </w:r>
      <w:hyperlink r:id="rId11">
        <w:r>
          <w:rPr>
            <w:rFonts w:ascii="Arial" w:eastAsia="Arial" w:hAnsi="Arial" w:cs="Arial"/>
            <w:color w:val="000000"/>
            <w:sz w:val="18"/>
            <w:szCs w:val="18"/>
            <w:u w:val="single"/>
          </w:rPr>
          <w:t>www.massivart.com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991AF1" w:rsidRDefault="00991AF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991AF1" w:rsidRDefault="0006701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Acerca de OUCHHH</w:t>
      </w:r>
    </w:p>
    <w:p w:rsidR="00991AF1" w:rsidRDefault="0006701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OUCHHH es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un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galardonado estudio creativo independiente de nuevos medios con experiencia interdisciplinar en Arte-Ciencia-Tecnología. Ouchhh se considera un centro creativo multidisciplinar centrado en las plataformas de nuevos medios interactivos, la inte</w:t>
      </w:r>
      <w:r>
        <w:rPr>
          <w:rFonts w:ascii="Arial" w:eastAsia="Arial" w:hAnsi="Arial" w:cs="Arial"/>
          <w:color w:val="000000"/>
          <w:sz w:val="18"/>
          <w:szCs w:val="18"/>
        </w:rPr>
        <w:t>ligencia artificial, las esculturas y pinturas basadas en datos, las artes públicas cinéticas, las experiencias de inmersión y la producción de espectáculos de fachada arquitectónica A/V. Ouchhh está descubriendo los límites del arte mediante la investigac</w:t>
      </w:r>
      <w:r>
        <w:rPr>
          <w:rFonts w:ascii="Arial" w:eastAsia="Arial" w:hAnsi="Arial" w:cs="Arial"/>
          <w:color w:val="000000"/>
          <w:sz w:val="18"/>
          <w:szCs w:val="18"/>
        </w:rPr>
        <w:t>ión de la relación entre la arquitectura, el arte, la ciencia, la tecnología, las artes de los nuevos medios y la inteligencia artificial.</w:t>
      </w:r>
    </w:p>
    <w:p w:rsidR="00991AF1" w:rsidRDefault="00991AF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991AF1">
      <w:headerReference w:type="default" r:id="rId12"/>
      <w:footerReference w:type="default" r:id="rId13"/>
      <w:pgSz w:w="11900" w:h="16840"/>
      <w:pgMar w:top="238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6701D">
      <w:r>
        <w:separator/>
      </w:r>
    </w:p>
  </w:endnote>
  <w:endnote w:type="continuationSeparator" w:id="0">
    <w:p w:rsidR="00000000" w:rsidRDefault="0006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Arimo">
    <w:charset w:val="00"/>
    <w:family w:val="auto"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AF1" w:rsidRDefault="0006701D">
    <w:r>
      <w:tab/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-7099</wp:posOffset>
          </wp:positionH>
          <wp:positionV relativeFrom="paragraph">
            <wp:posOffset>17780</wp:posOffset>
          </wp:positionV>
          <wp:extent cx="1253490" cy="250190"/>
          <wp:effectExtent l="0" t="0" r="0" b="0"/>
          <wp:wrapSquare wrapText="bothSides" distT="0" distB="0" distL="114300" distR="114300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3490" cy="250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2298469</wp:posOffset>
          </wp:positionH>
          <wp:positionV relativeFrom="paragraph">
            <wp:posOffset>-196849</wp:posOffset>
          </wp:positionV>
          <wp:extent cx="1122045" cy="63119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2045" cy="631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4714760</wp:posOffset>
          </wp:positionH>
          <wp:positionV relativeFrom="paragraph">
            <wp:posOffset>-62863</wp:posOffset>
          </wp:positionV>
          <wp:extent cx="1088390" cy="372110"/>
          <wp:effectExtent l="0" t="0" r="0" b="0"/>
          <wp:wrapSquare wrapText="bothSides" distT="0" distB="0" distL="114300" distR="114300"/>
          <wp:docPr id="1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8390" cy="372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91AF1" w:rsidRDefault="00991A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64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6701D">
      <w:r>
        <w:separator/>
      </w:r>
    </w:p>
  </w:footnote>
  <w:footnote w:type="continuationSeparator" w:id="0">
    <w:p w:rsidR="00000000" w:rsidRDefault="0006701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AF1" w:rsidRDefault="0006701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center"/>
      <w:rPr>
        <w:rFonts w:ascii="Helvetica Neue" w:eastAsia="Helvetica Neue" w:hAnsi="Helvetica Neue" w:cs="Helvetica Neue"/>
        <w:color w:val="000000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1641418</wp:posOffset>
          </wp:positionH>
          <wp:positionV relativeFrom="paragraph">
            <wp:posOffset>-134504</wp:posOffset>
          </wp:positionV>
          <wp:extent cx="2375535" cy="1019175"/>
          <wp:effectExtent l="0" t="0" r="0" b="0"/>
          <wp:wrapSquare wrapText="bothSides" distT="0" distB="0" distL="114300" distR="11430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25455" b="41391"/>
                  <a:stretch>
                    <a:fillRect/>
                  </a:stretch>
                </pic:blipFill>
                <pic:spPr>
                  <a:xfrm>
                    <a:off x="0" y="0"/>
                    <a:ext cx="237553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23830"/>
    <w:multiLevelType w:val="multilevel"/>
    <w:tmpl w:val="AD88B97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91AF1"/>
    <w:rsid w:val="0006701D"/>
    <w:rsid w:val="0099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Pr>
      <w:lang w:val="es-ES_tradnl"/>
    </w:rPr>
  </w:style>
  <w:style w:type="character" w:customStyle="1" w:styleId="NingunoA">
    <w:name w:val="Ninguno A"/>
    <w:basedOn w:val="Ninguno"/>
    <w:rPr>
      <w:lang w:val="es-ES_tradnl"/>
    </w:rPr>
  </w:style>
  <w:style w:type="paragraph" w:styleId="Prrafodelista">
    <w:name w:val="List Paragraph"/>
    <w:pPr>
      <w:spacing w:line="276" w:lineRule="auto"/>
      <w:ind w:left="720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Estiloimportado1">
    <w:name w:val="Estilo importado 1"/>
  </w:style>
  <w:style w:type="paragraph" w:styleId="Revisin">
    <w:name w:val="Revision"/>
    <w:hidden/>
    <w:uiPriority w:val="99"/>
    <w:semiHidden/>
    <w:rsid w:val="00DC52C0"/>
    <w:rPr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F340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40C9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F340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0C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FA1AA9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F4AF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Pr>
      <w:lang w:val="es-ES_tradnl"/>
    </w:rPr>
  </w:style>
  <w:style w:type="character" w:customStyle="1" w:styleId="NingunoA">
    <w:name w:val="Ninguno A"/>
    <w:basedOn w:val="Ninguno"/>
    <w:rPr>
      <w:lang w:val="es-ES_tradnl"/>
    </w:rPr>
  </w:style>
  <w:style w:type="paragraph" w:styleId="Prrafodelista">
    <w:name w:val="List Paragraph"/>
    <w:pPr>
      <w:spacing w:line="276" w:lineRule="auto"/>
      <w:ind w:left="720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Estiloimportado1">
    <w:name w:val="Estilo importado 1"/>
  </w:style>
  <w:style w:type="paragraph" w:styleId="Revisin">
    <w:name w:val="Revision"/>
    <w:hidden/>
    <w:uiPriority w:val="99"/>
    <w:semiHidden/>
    <w:rsid w:val="00DC52C0"/>
    <w:rPr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F340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40C9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F340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0C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FA1AA9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F4AF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ssivart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ivanhoecambridge.com" TargetMode="External"/><Relationship Id="rId10" Type="http://schemas.openxmlformats.org/officeDocument/2006/relationships/hyperlink" Target="https://mira.m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83day3rVWbTHm6+SseB5SXjVyw==">AMUW2mVmCEW/I4Hc0dna8WI3OWIJkWN3RyUjeNvqugwTZHMahXfL0BoU2QbYZvHfftJjIEWSUn6EvjotsuWB4lCRt4Isg3s6k7PaocAyNm3nDhhEPfBx28QdngJjNY9e/l8O9V0HRvpm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1541</Words>
  <Characters>8480</Characters>
  <Application>Microsoft Macintosh Word</Application>
  <DocSecurity>0</DocSecurity>
  <Lines>70</Lines>
  <Paragraphs>20</Paragraphs>
  <ScaleCrop>false</ScaleCrop>
  <Company/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Quintanilla</dc:creator>
  <cp:lastModifiedBy>MIGUEL ANGEL ROBLES</cp:lastModifiedBy>
  <cp:revision>2</cp:revision>
  <dcterms:created xsi:type="dcterms:W3CDTF">2022-05-20T05:56:00Z</dcterms:created>
  <dcterms:modified xsi:type="dcterms:W3CDTF">2022-05-20T05:56:00Z</dcterms:modified>
</cp:coreProperties>
</file>